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профессионального модуля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«ПМ.04 Организация контроля, наладки и технического обслуживания 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оборудования машиностроительного производства»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15.02.16 Технология машиностроения</w:t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202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5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СОДЕРЖАНИЕ ПРОГРАММЫ</w:t>
      </w:r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3" w:tooltip="#_Toc162370387" w:anchor="_Toc162370387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 Общая характеристика РАБОЧЕЙ ПРОГРАММЫ ПРОФЕССИОНАЛЬНОГО МОДУЛЯ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4" w:tooltip="#_Toc162370388" w:anchor="_Toc162370388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1.1.Цель и место профессионального модуля в структуре образовательной программы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5" w:tooltip="#_Toc162370389" w:anchor="_Toc162370389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1.2.Планируемые результаты освоения профессионального модуля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6" w:tooltip="#_Toc162370390" w:anchor="_Toc162370390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1.3.Обоснование часов вариативной части ОПОП-П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7" w:tooltip="#_Toc162370391" w:anchor="_Toc162370391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 Структура и содержание профессионального модуля</w:t>
        </w:r>
        <w:r>
          <w:rPr>
            <w:rStyle w:val="174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8" w:tooltip="#_Toc162370392" w:anchor="_Toc162370392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2.1. Трудоемкость освоения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9" w:tooltip="#_Toc162370393" w:anchor="_Toc162370393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2.2. Структура профес</w:t>
        </w:r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0" w:tooltip="#_Toc162370394" w:anchor="_Toc162370394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2.3. Содержание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1" w:tooltip="#_Toc162370395" w:anchor="_Toc162370395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2.4. Курсовой проект (работа) (для специальностей СПО, если предусмотрено)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2" w:tooltip="#_Toc162370397" w:anchor="_Toc162370397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 Условия реализации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3" w:tooltip="#_Toc162370398" w:anchor="_Toc162370398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3.1. Материально-техническое обеспечение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4" w:tooltip="#_Toc162370399" w:anchor="_Toc162370399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3.2. Учебно-методическое обеспечение</w:t>
        </w:r>
        <w:r>
          <w:rPr>
            <w:rStyle w:val="174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5" w:tooltip="#_Toc162370400" w:anchor="_Toc162370400" w:history="1">
        <w:r>
          <w:rPr>
            <w:rStyle w:val="174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4. Контроль и оценка результатов освоения  профессионального модуля</w:t>
        </w:r>
      </w:hyperlink>
      <w:r/>
      <w:r/>
    </w:p>
    <w:p>
      <w:pPr>
        <w:jc w:val="center"/>
        <w:rPr>
          <w:rFonts w:ascii="Times New Roman" w:hAnsi="Times New Roman"/>
          <w:sz w:val="24"/>
          <w:szCs w:val="24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ectPr>
          <w:headerReference w:type="even" r:id="rId9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jc w:val="center"/>
        <w:spacing w:after="0"/>
        <w:rPr>
          <w:rFonts w:ascii="Times New Roman" w:hAnsi="Times New Roman"/>
          <w:b/>
          <w:sz w:val="24"/>
          <w:szCs w:val="24"/>
        </w:rPr>
        <w:outlineLvl w:val="0"/>
      </w:pPr>
      <w:r/>
      <w:bookmarkStart w:id="0" w:name="_Toc127737802"/>
      <w:r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ПРОФЕССИОНАЛЬНОГО МОДУЛЯ</w:t>
      </w:r>
      <w:bookmarkEnd w:id="0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</w:p>
    <w:p>
      <w:pPr>
        <w:contextualSpacing/>
        <w:jc w:val="center"/>
        <w:spacing w:after="0"/>
        <w:rPr>
          <w:rFonts w:ascii="Times New Roman" w:hAnsi="Times New Roman"/>
          <w:b/>
          <w:sz w:val="24"/>
          <w:szCs w:val="24"/>
        </w:rPr>
        <w:outlineLvl w:val="0"/>
      </w:pPr>
      <w:r/>
      <w:bookmarkStart w:id="1" w:name="_Toc127737803"/>
      <w:r>
        <w:rPr>
          <w:rFonts w:ascii="Times New Roman" w:hAnsi="Times New Roman"/>
          <w:b/>
          <w:sz w:val="24"/>
          <w:szCs w:val="24"/>
        </w:rPr>
        <w:t xml:space="preserve">«ПМ.04 Организация контроля, наладки и технического обслуживания оборудования машиностроительного производства»</w:t>
      </w:r>
      <w:bookmarkEnd w:id="1"/>
      <w:r/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_1306"/>
        <w:numPr>
          <w:ilvl w:val="1"/>
          <w:numId w:val="6"/>
        </w:numPr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Цель и место профессионального модуля</w:t>
      </w:r>
      <w:bookmarkEnd w:id="0"/>
      <w:r>
        <w:rPr>
          <w:rFonts w:ascii="Times New Roman" w:hAnsi="Times New Roman"/>
        </w:rPr>
        <w:t xml:space="preserve"> в структуре образовательной программы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модуля: освоение вида деятельности «Организация контроля, наладки и технического обслуживания оборудования машиностроительного производства». 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  <w:r/>
      <w:r>
        <w:rPr>
          <w:rFonts w:ascii="Times New Roman" w:hAnsi="Times New Roman" w:eastAsia="Times New Roman" w:cs="Times New Roman"/>
          <w:color w:val="000000"/>
          <w:sz w:val="24"/>
        </w:rPr>
      </w:r>
      <w:r/>
      <w:r>
        <w:rPr>
          <w:sz w:val="22"/>
        </w:rPr>
      </w:r>
    </w:p>
    <w:p>
      <w:pPr>
        <w:ind w:left="0" w:right="0" w:firstLine="0"/>
        <w:jc w:val="both"/>
        <w:rPr>
          <w:b/>
          <w:bCs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</w:rPr>
        <w:t xml:space="preserve">1.2. Планируемые результаты освоения профессионального модуля</w:t>
      </w:r>
      <w:r>
        <w:rPr>
          <w:b/>
          <w:bCs/>
          <w:color w:val="000000" w:themeColor="text1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  <w:r/>
    </w:p>
    <w:p>
      <w:pPr>
        <w:ind w:left="0" w:right="0" w:firstLine="709"/>
        <w:jc w:val="both"/>
        <w:spacing w:after="12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результате освоения профессионального модуля обучающийся должен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tbl>
      <w:tblPr>
        <w:tblStyle w:val="7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94"/>
        <w:gridCol w:w="2750"/>
        <w:gridCol w:w="2750"/>
        <w:gridCol w:w="2761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Код ОК, ПК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Владеть навыками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ОК 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или проблемы;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-</w:t>
            </w:r>
            <w:r/>
          </w:p>
        </w:tc>
      </w:tr>
    </w:tbl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 w:type="page" w:clear="all"/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 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7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94"/>
        <w:gridCol w:w="2750"/>
        <w:gridCol w:w="2750"/>
        <w:gridCol w:w="2761"/>
      </w:tblGrid>
      <w:tr>
        <w:tblPrEx/>
        <w:trPr>
          <w:trHeight w:val="228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4.1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4.2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4.3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4.4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4.5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осуществлять оценку работоспособности и степени износа узлов и элементов металлорежущего оборудования, оценивать точность функционирования металлорежущего оборудования на технологических позициях производственных участков, контрольно-измерительный инструме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нт и приспособления, применяемые для обеспечения точности функционирования металлорежущего и аддитивного оборудования;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обеспечивать безопасность работ по наладке, подналадке и техническому обслуживанию металлорежущего и аддитивного оборудования;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выполнять расчеты, связанные с наладкой работы металлорежущего и аддитивного оборудования;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рассчитывать энергетические, информационные и материально-технические ресурсы в соответствии с производственными задачами;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выполнять расчеты, связанные с наладкой работы металлорежущего и аддитивного оборудования, оценивать точность функционирования металлорежущего оборудования на технологических позициях производственных участков;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нормы охраны труда и бережливого производства, в том числе с использованием SCADA систем;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 выполнения расчетов, связанных с наладкой работы металлорежущего и аддитивного оборудования, методы наладки оборудования;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основные режимы работы металлорежущего и аддитивного оборудования, требования к обеспечению;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объемы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порядок работ по наладке и техобслуживанию;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диагностирования технического состояния эксплуатируемого металлорежущего и аддитивного оборудования, определения отклонений от технических параметров работы оборудования металлообрабатывающих и аддитивных производств;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организации работ по устранению неисправности функционирования оборудования на технологических позициях производственных участков, выведения узлов и элементов металлорежущего и аддитивного оборудования в ремонт;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регулировки режимов работы эксплуатируемого оборудования;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организации подготовки заявок, приобретения, доставки, складирования и хранения расходных материалов;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оформления технической документации на проведение контроля, наладки, подналадки и технического обслуживания оборудования, проведения контроля качества наладки и технического обслуживания оборудования;</w:t>
            </w:r>
            <w:r/>
          </w:p>
        </w:tc>
      </w:tr>
    </w:tbl>
    <w:p>
      <w:pPr>
        <w:ind w:left="0" w:right="0" w:firstLine="709"/>
        <w:jc w:val="both"/>
        <w:spacing w:after="120"/>
        <w:rPr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_2151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профессионального модуля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306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модуля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144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144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04.01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04.01.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04.01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04 в форме комплексного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left="0" w:right="0" w:firstLine="709"/>
        <w:jc w:val="both"/>
        <w:spacing w:after="120"/>
        <w:rPr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/>
    </w:p>
    <w:p>
      <w:pPr>
        <w:contextualSpacing/>
        <w:spacing w:after="0"/>
        <w:rPr>
          <w:rFonts w:ascii="Times New Roman" w:hAnsi="Times New Roman"/>
          <w:sz w:val="24"/>
          <w:szCs w:val="24"/>
        </w:rPr>
        <w:sectPr>
          <w:headerReference w:type="even" r:id="rId10"/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2.2. Структура профессионального модуля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128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04.01.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</w:rPr>
              <w:t xml:space="preserve">Диагностика, планирование, организация работ и контроль качества по техническому обслуживанию оборудования машиностроительного производства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31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346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302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br w:type="page" w:clear="all"/>
      </w:r>
      <w:r/>
    </w:p>
    <w:p>
      <w:pPr>
        <w:pStyle w:val="1_130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2.3. Содержание </w:t>
      </w:r>
      <w:r>
        <w:rPr>
          <w:rFonts w:ascii="Times New Roman" w:hAnsi="Times New Roman"/>
        </w:rPr>
        <w:t xml:space="preserve">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Style w:val="7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90"/>
        <w:gridCol w:w="7339"/>
        <w:gridCol w:w="2409"/>
        <w:gridCol w:w="2347"/>
      </w:tblGrid>
      <w:tr>
        <w:tblPrEx/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 и лабораторных занятий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70c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МДК 04.01 Диагностика, планирование, организация работ и контроль качества по техническому обслуживанию оборудования машиностроительного производства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Раздел 1. Диагностика металлообрабатывающего оборудования </w:t>
            </w:r>
            <w:r/>
            <w:r>
              <w:rPr>
                <w:sz w:val="22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Тема 1.1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Принципы, виды и методы диагностирования оборудования</w:t>
            </w:r>
            <w:r/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Содержание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Диагностирование как часть технического обслуживания сборочного оборудования. </w:t>
            </w:r>
            <w:r>
              <w:rPr>
                <w:sz w:val="22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принципы технического диагностирования сборочного оборудования, его роль и задачи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 том числе практических занятий и лабораторных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Прямое и косвенное диагностирование.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Универсальные измерительные приборы, применяемые при диагностировании сборочного оборудования.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Системы диагностирования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9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Применение различных методов диагностики сборочного оборудования (по вариантам).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9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Виды и методы диагностирования сборочного оборудования.  </w:t>
            </w:r>
            <w:r>
              <w:rPr>
                <w:sz w:val="22"/>
                <w:szCs w:val="22"/>
              </w:rPr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Тема 1.2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Технология диагностирования типовых единиц сборочного оборудования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Последовательность проверки общего состояния сборочного оборудования.</w:t>
            </w:r>
            <w:r/>
            <w:r>
              <w:rPr>
                <w:sz w:val="22"/>
              </w:rPr>
            </w:r>
          </w:p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Приёмы проверки и регулировки основных узлов и единиц режущего и сборочного оборудования.</w:t>
            </w:r>
            <w:r/>
            <w:r>
              <w:rPr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 том числе практических занятий и лабораторных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Диагностирование контрольно-измерительных приборов и приборов защитной автоматики сборочного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r/>
          </w:p>
        </w:tc>
      </w:tr>
      <w:tr>
        <w:tblPrEx/>
        <w:trPr>
          <w:trHeight w:val="12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Составление последовательности проверки состояния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9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Тема 1.3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Методы поиска неисправностей при диагностировании оборудования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9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Регламентное и заявочное диагностирование.</w:t>
            </w:r>
            <w:r/>
            <w:r>
              <w:rPr>
                <w:sz w:val="22"/>
              </w:rPr>
            </w:r>
          </w:p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Маршрутная технология диагностирования сборочного оборудования.</w:t>
            </w:r>
            <w:r/>
            <w:r>
              <w:rPr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 том числе практических занятий и лабораторных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диагностические параметры состояния, характеризующие техническое состояние сборочного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r/>
          </w:p>
        </w:tc>
      </w:tr>
      <w:tr>
        <w:tblPrEx/>
        <w:trPr>
          <w:trHeight w:val="30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Выбор методов устранения неисправностей на основе проведённой диагностики сборочного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Составление маршрутной технологии диагностирования состояния сборочного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31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Тема 1.4.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Общие сведения о порядке наладки металлорежущих станков оборудования</w:t>
            </w:r>
            <w:r/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1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Наладка и подналадка: основные понятия, последовательность проведения наладки и подналадки сборочного оборудования. </w:t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8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 том числе практических занятий и лабораторных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7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Технологическая документация по наладке и подналадке: виды и применение. Планирование работ по наладке и подналадке сборочного оборудования.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Определение последовательности проведения наладочных и подналадочных работ сборочного оборудования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Настройка, регулировка и проверка сборочного оборудования.</w:t>
            </w:r>
            <w:r/>
            <w:r>
              <w:rPr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Тема 1.5. Особенности наладки станков различного вида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Характерные режимы работы для системы с ЧПУ типа CNC: режим ввода информации, автоматический режим, режим вмешательства оператора, ручной режим, режим редактирования и другие.</w:t>
            </w:r>
            <w:r/>
            <w:r>
              <w:rPr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 том числе практических занятий и лабораторных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44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Особенности наладки токарных станков с ЧПУ.</w:t>
              <w:br/>
              <w:t xml:space="preserve"> Особенности наладки многоцелевых станков с ЧПУ. Установка зажимного приспособления.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Планирование, организация ресурсного обеспечения работ по наладке сборочного оборудования.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Применение SCADA-систем для ресурсного обеспечения работ по наладке сборочного оборудования.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Проведение наладки токарного станка с ЧПУ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Тема 1.6.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Основные сведения о ремонте металлорежущего оборудования. Принципы TPM-системы.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0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Виды ремонта металлорежущего и аддитивного оборудования: плановый (капитальный), внеплановый (текущий), система планово-предупредительных ремонтов.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39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Документация по ремонту металлорежущего оборудования: виды, оформление, требования к построению, содержанию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и изложению документов. ГОСТ 2.602-2013 Единая система конструкторской документации (ЕСКД). Ремонтные документы (с Поправкой).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4.1.-4.5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Учебная практика 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Виды работ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1. Выбор методов и способов устранения неисправностей и отказов сборочного оборудования.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2. Изучение и ознакомление с методами ремонта сборочного оборудования (пайка, наплавка, ручная сварка и т.д.).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Производственная практика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Виды работ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1.Выполнение диагностики сборочного оборудования.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2.Выполнение наладки сборочного оборудования и станочной системы.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3.Выполнение подналадки в процессе работы и технического обслуживание сборочного оборудования.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Промежуточная аттестация в форме комплексного экзамена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t xml:space="preserve">Всего 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346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bookmarkStart w:id="5" w:name="_Toc127737805"/>
      <w:r>
        <w:rPr>
          <w:rFonts w:ascii="Times New Roman" w:hAnsi="Times New Roman"/>
          <w:b/>
          <w:bCs/>
          <w:sz w:val="24"/>
          <w:szCs w:val="24"/>
        </w:rPr>
        <w:t xml:space="preserve">УСЛОВИЯ РЕАЛИЗАЦИИ ПРОФЕССИОНАЛЬНОГО МОДУЛЯ</w:t>
      </w:r>
      <w:bookmarkEnd w:id="5"/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left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_1306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Кабинет общепрофессиональных дисциплин и профессиональных модулей, оснащенный в соответствии с приложением 3 ПОП-П. 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Лаборатория «Информационные технологии в планировании производственных процессов», оснащенная в соответствии с приложением 3 ПОП-П. 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Мастерская «Участок станков с ЧПУ», «Слесарная»,оснащенные в соответствии с приложением 3 ПОП-П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.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Оснащенные базы практики (мастерские/зоны по видам работ), оснащенные в соответствии с приложением 3 ПОП-П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.</w:t>
      </w:r>
      <w:r/>
    </w:p>
    <w:p>
      <w:pPr>
        <w:ind w:left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_1306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/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41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1.Ильянков А.И. Технология машиностроения: учебное издание / Ильянков А.И. - Москва : Академия, 2020. - 352 c. (Специальности среднего профессионального образования). - URL: https://academia-library.ru - Текст : электронный.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Маслов, А. Р. Технологическое оборудование автоматизированного производства учебное пособие для СПО / А. Р. Маслов. — Саратов, Москва Профобразование, Ай Пи Ар Медиа, 2021. — 103 c. — ISBN 978-5-4488-0977-4, 978-5-4497-0832-8. — Текст электронный // Эле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ктронный ресурс цифровой образовательной среды СПО PROFобразование [сайт]. — URL: https://profspo.ru/books/102248.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Пашков, Е. В. Следящие приводы промышленного технологического оборудования : учебное пособие для спо / Е. В. Пашков, В. А. Крамарь, А. А. Кабанов. — Санкт-Петербург : Лань, 2021. — 364 с. — ISBN 978-5-8114-6927-7. — Текст : электронный // Лань : электро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нно-библиотечная система. — URL: https://e.lanbook.com/book/153681.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Фаскиев, Р. С. Техническая эксплуатация и ремонт технологического оборудования : учебное пособие для СПО / Р. С. Фаскиев, Е. В. Бондаренко, Е. Г. Кеян, Р. Х. Хасанов. — Саратов : Профобразование, 2020. — 261 c. — ISBN 978-5-4488-0692-6. — Текст : электр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онный // Электронный ресурс цифровой образовательной среды СПО PROFобразование : [сайт]. — URL: </w:t>
      </w:r>
      <w:hyperlink r:id="rId26" w:tooltip="https://profspo.ru/books/92179" w:history="1">
        <w:r>
          <w:rPr>
            <w:rStyle w:val="174"/>
            <w:rFonts w:ascii="Times New Roman" w:hAnsi="Times New Roman" w:eastAsia="Times New Roman" w:cs="Times New Roman"/>
            <w:color w:val="0563c1"/>
            <w:sz w:val="24"/>
            <w:u w:val="none"/>
          </w:rPr>
          <w:t xml:space="preserve">https://profspo.ru/books/92179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</w:t>
      </w:r>
      <w:r/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sz w:val="24"/>
          <w:szCs w:val="24"/>
        </w:rPr>
        <w:t xml:space="preserve">1.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Вереина</w:t>
      </w:r>
      <w:r>
        <w:rPr>
          <w:rFonts w:ascii="Times New Roman" w:hAnsi="Times New Roman"/>
          <w:sz w:val="24"/>
          <w:szCs w:val="24"/>
        </w:rPr>
        <w:t xml:space="preserve">, Л. И. Металлорежущее технологическое оборудование : учебное пособие / Л. И. </w:t>
      </w:r>
      <w:r>
        <w:rPr>
          <w:rFonts w:ascii="Times New Roman" w:hAnsi="Times New Roman"/>
          <w:sz w:val="24"/>
          <w:szCs w:val="24"/>
        </w:rPr>
        <w:t xml:space="preserve">Вереина</w:t>
      </w:r>
      <w:r>
        <w:rPr>
          <w:rFonts w:ascii="Times New Roman" w:hAnsi="Times New Roman"/>
          <w:sz w:val="24"/>
          <w:szCs w:val="24"/>
        </w:rPr>
        <w:t xml:space="preserve">, А. Г. </w:t>
      </w:r>
      <w:r>
        <w:rPr>
          <w:rFonts w:ascii="Times New Roman" w:hAnsi="Times New Roman"/>
          <w:sz w:val="24"/>
          <w:szCs w:val="24"/>
        </w:rPr>
        <w:t xml:space="preserve">Ягопольский</w:t>
      </w:r>
      <w:r>
        <w:rPr>
          <w:rFonts w:ascii="Times New Roman" w:hAnsi="Times New Roman"/>
          <w:sz w:val="24"/>
          <w:szCs w:val="24"/>
        </w:rPr>
        <w:t xml:space="preserve"> ; под общ. ред. Л. И. </w:t>
      </w:r>
      <w:r>
        <w:rPr>
          <w:rFonts w:ascii="Times New Roman" w:hAnsi="Times New Roman"/>
          <w:sz w:val="24"/>
          <w:szCs w:val="24"/>
        </w:rPr>
        <w:t xml:space="preserve">Вереиной</w:t>
      </w:r>
      <w:r>
        <w:rPr>
          <w:rFonts w:ascii="Times New Roman" w:hAnsi="Times New Roman"/>
          <w:sz w:val="24"/>
          <w:szCs w:val="24"/>
        </w:rPr>
        <w:t xml:space="preserve">. — Москва : ИНФРА-М, 2020. — 435 с. — (Высшее образование: Бакалавриат). - ISBN 978-5-16-013642-4. - Текст : электронный. - URL: https://znanium.com/catalog/product/1090075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</w:t>
      </w:r>
      <w:r>
        <w:rPr>
          <w:rFonts w:ascii="Times New Roman" w:hAnsi="Times New Roman"/>
          <w:sz w:val="24"/>
          <w:szCs w:val="24"/>
        </w:rPr>
        <w:tab/>
        <w:t xml:space="preserve">Гаврилин А.М. Металлорежущие станки в 2 т. Изд.6-е. М.: Академия, Т1. 2012.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</w:t>
      </w:r>
      <w:r>
        <w:rPr>
          <w:rFonts w:ascii="Times New Roman" w:hAnsi="Times New Roman"/>
          <w:sz w:val="24"/>
          <w:szCs w:val="24"/>
        </w:rPr>
        <w:tab/>
        <w:t xml:space="preserve">Гаврилин А.М. Металлорежущие станки в 2 т. Изд.6-е. М.: Академия, Т2. 2012.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Основные электронные издания 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</w:t>
      </w:r>
      <w:r>
        <w:rPr>
          <w:rFonts w:ascii="Times New Roman" w:hAnsi="Times New Roman"/>
          <w:sz w:val="24"/>
          <w:szCs w:val="24"/>
        </w:rPr>
        <w:tab/>
        <w:t xml:space="preserve">Мирошин, Д. Г.  Технология обработки на токарных станках : учебное пособие для среднего профессионального образования / Д. Г. Мирошин, Э. Э. </w:t>
      </w:r>
      <w:r>
        <w:rPr>
          <w:rFonts w:ascii="Times New Roman" w:hAnsi="Times New Roman"/>
          <w:sz w:val="24"/>
          <w:szCs w:val="24"/>
        </w:rPr>
        <w:t xml:space="preserve">Агаева</w:t>
      </w:r>
      <w:r>
        <w:rPr>
          <w:rFonts w:ascii="Times New Roman" w:hAnsi="Times New Roman"/>
          <w:sz w:val="24"/>
          <w:szCs w:val="24"/>
        </w:rPr>
        <w:t xml:space="preserve"> ; под общей редакцией И. Н. Тихонова. — Москва : Издательство </w:t>
      </w:r>
      <w:r>
        <w:rPr>
          <w:rFonts w:ascii="Times New Roman" w:hAnsi="Times New Roman"/>
          <w:sz w:val="24"/>
          <w:szCs w:val="24"/>
        </w:rPr>
        <w:t xml:space="preserve">Юрайт</w:t>
      </w:r>
      <w:r>
        <w:rPr>
          <w:rFonts w:ascii="Times New Roman" w:hAnsi="Times New Roman"/>
          <w:sz w:val="24"/>
          <w:szCs w:val="24"/>
        </w:rPr>
        <w:t xml:space="preserve">, 2023. — 314 с. — (Профессиональное образование). — ISBN 978-5-534-14667-7. — Текст : электронный // Образовательная платформа </w:t>
      </w:r>
      <w:r>
        <w:rPr>
          <w:rFonts w:ascii="Times New Roman" w:hAnsi="Times New Roman"/>
          <w:sz w:val="24"/>
          <w:szCs w:val="24"/>
        </w:rPr>
        <w:t xml:space="preserve">Юрайт</w:t>
      </w:r>
      <w:r>
        <w:rPr>
          <w:rFonts w:ascii="Times New Roman" w:hAnsi="Times New Roman"/>
          <w:sz w:val="24"/>
          <w:szCs w:val="24"/>
        </w:rPr>
        <w:t xml:space="preserve"> [сайт]. — URL: https://urait.ru/bcode/519978 (дата обращения: 20.02.2023).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</w:p>
    <w:p>
      <w:pPr>
        <w:pStyle w:val="1_2151"/>
        <w:rPr>
          <w:rFonts w:ascii="Times New Roman" w:hAnsi="Times New Roman"/>
          <w:b w:val="0"/>
          <w:bCs w:val="0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 xml:space="preserve">профессионального модуля</w:t>
      </w:r>
      <w:bookmarkEnd w:id="0"/>
      <w:r/>
      <w:bookmarkEnd w:id="0"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spacing w:after="0" w:line="200" w:lineRule="exact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3998"/>
        <w:gridCol w:w="2592"/>
      </w:tblGrid>
      <w:tr>
        <w:tblPrEx/>
        <w:trPr>
          <w:trHeight w:val="1098"/>
        </w:trPr>
        <w:tc>
          <w:tcPr>
            <w:tcW w:w="2523" w:type="dxa"/>
            <w:vAlign w:val="center"/>
            <w:textDirection w:val="lrTb"/>
            <w:noWrap w:val="false"/>
          </w:tcPr>
          <w:p>
            <w:r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ОК</w:t>
            </w:r>
            <w:r/>
            <w:r/>
            <w:r/>
          </w:p>
        </w:tc>
        <w:tc>
          <w:tcPr>
            <w:tcW w:w="399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 xml:space="preserve">(показатели освоенности компетенций)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контроля и методы оценки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25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4.1. 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 xml:space="preserve">Оценка способности осуществлять диагностику неисправностей и отказов систем металлорежущего и аддитивного производственного оборудования</w:t>
            </w:r>
            <w:r>
              <w:rPr>
                <w:rFonts w:ascii="Times New Roman" w:hAnsi="Times New Roman"/>
                <w:lang w:eastAsia="ja-JP"/>
              </w:rPr>
            </w:r>
          </w:p>
        </w:tc>
        <w:tc>
          <w:tcPr>
            <w:tcW w:w="2592" w:type="dxa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 ;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ПМ.04</w:t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учебной, практике;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зачет  по  МДК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4.01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>
          <w:trHeight w:val="698"/>
        </w:trPr>
        <w:tc>
          <w:tcPr>
            <w:tcW w:w="25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4.2. 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 xml:space="preserve">Оценка умения организовывать работы по устранению неполадок, отказов</w:t>
            </w:r>
            <w:r>
              <w:rPr>
                <w:rFonts w:ascii="Times New Roman" w:hAnsi="Times New Roman"/>
                <w:lang w:eastAsia="ja-JP"/>
              </w:rPr>
            </w:r>
          </w:p>
        </w:tc>
        <w:tc>
          <w:tcPr>
            <w:tcW w:w="259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698"/>
        </w:trPr>
        <w:tc>
          <w:tcPr>
            <w:tcW w:w="25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4.3. 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Оценка умения планировать работы по наладке и </w:t>
            </w:r>
            <w:r>
              <w:rPr>
                <w:rFonts w:ascii="Times New Roman" w:hAnsi="Times New Roman"/>
                <w:lang w:eastAsia="ja-JP"/>
              </w:rPr>
              <w:t xml:space="preserve">подналадке</w:t>
            </w:r>
            <w:r>
              <w:rPr>
                <w:rFonts w:ascii="Times New Roman" w:hAnsi="Times New Roman"/>
                <w:lang w:eastAsia="ja-JP"/>
              </w:rPr>
              <w:t xml:space="preserve"> металлорежущего и аддитивного оборудования</w:t>
            </w:r>
            <w:r>
              <w:rPr>
                <w:rFonts w:ascii="Times New Roman" w:hAnsi="Times New Roman"/>
                <w:lang w:eastAsia="ja-JP"/>
              </w:rPr>
            </w:r>
          </w:p>
        </w:tc>
        <w:tc>
          <w:tcPr>
            <w:tcW w:w="259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698"/>
        </w:trPr>
        <w:tc>
          <w:tcPr>
            <w:tcW w:w="25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4.4.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Оценка умения организовывать ресурсное обеспечение работ по наладке</w:t>
            </w:r>
            <w:r>
              <w:rPr>
                <w:rFonts w:ascii="Times New Roman" w:hAnsi="Times New Roman"/>
                <w:lang w:eastAsia="ja-JP"/>
              </w:rPr>
            </w:r>
          </w:p>
        </w:tc>
        <w:tc>
          <w:tcPr>
            <w:tcW w:w="259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698"/>
        </w:trPr>
        <w:tc>
          <w:tcPr>
            <w:tcW w:w="25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4.5.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Оценка умения </w:t>
            </w:r>
            <w:r>
              <w:rPr>
                <w:rFonts w:ascii="Times New Roman" w:hAnsi="Times New Roman"/>
              </w:rPr>
              <w:t xml:space="preserve">контролировать качество работ по наладке и техническому обслуживанию</w:t>
            </w:r>
            <w:r>
              <w:rPr>
                <w:rFonts w:ascii="Times New Roman" w:hAnsi="Times New Roman"/>
                <w:lang w:eastAsia="ja-JP"/>
              </w:rPr>
            </w:r>
          </w:p>
        </w:tc>
        <w:tc>
          <w:tcPr>
            <w:tcW w:w="259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698"/>
        </w:trPr>
        <w:tc>
          <w:tcPr>
            <w:tcW w:w="25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01.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  <w:lang w:eastAsia="en-US"/>
              </w:rPr>
              <w:t xml:space="preserve">Выбирает  </w:t>
            </w: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  <w:lang w:eastAsia="en-US"/>
              </w:rPr>
              <w:t xml:space="preserve">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</w:rPr>
            </w:r>
          </w:p>
        </w:tc>
        <w:tc>
          <w:tcPr>
            <w:tcW w:w="2592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00" w:lineRule="exact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00" w:lineRule="exact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eastAsia="Calibri"/>
          <w:sz w:val="24"/>
          <w:szCs w:val="24"/>
          <w:lang w:eastAsia="en-US" w:bidi="en-US"/>
        </w:rPr>
      </w:pPr>
      <w:r>
        <w:rPr>
          <w:rFonts w:ascii="Times New Roman" w:hAnsi="Times New Roman" w:eastAsia="Calibri"/>
          <w:sz w:val="24"/>
          <w:szCs w:val="24"/>
          <w:lang w:eastAsia="en-US" w:bidi="en-US"/>
        </w:rPr>
      </w:r>
      <w:r>
        <w:rPr>
          <w:rFonts w:ascii="Times New Roman" w:hAnsi="Times New Roman" w:eastAsia="Calibri"/>
          <w:sz w:val="24"/>
          <w:szCs w:val="24"/>
          <w:lang w:eastAsia="en-US" w:bidi="en-US"/>
        </w:rPr>
      </w:r>
    </w:p>
    <w:p>
      <w:pPr>
        <w:contextualSpacing/>
        <w:ind w:firstLine="709"/>
        <w:jc w:val="both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  <w:r>
        <w:rPr>
          <w:rFonts w:ascii="Times New Roman" w:hAnsi="Times New Roman"/>
          <w:sz w:val="24"/>
          <w:szCs w:val="24"/>
        </w:rPr>
      </w:r>
    </w:p>
    <w:sectPr>
      <w:footerReference w:type="default" r:id="rId11"/>
      <w:footerReference w:type="even" r:id="rId12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 Полужирный"/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rPr>
        <w:rStyle w:val="737"/>
      </w:rPr>
      <w:framePr w:wrap="around" w:vAnchor="text" w:hAnchor="margin" w:xAlign="right" w:y="1"/>
    </w:pPr>
    <w:r>
      <w:rPr>
        <w:rStyle w:val="737"/>
      </w:rPr>
      <w:fldChar w:fldCharType="begin"/>
    </w:r>
    <w:r>
      <w:rPr>
        <w:rStyle w:val="737"/>
      </w:rPr>
      <w:instrText xml:space="preserve">PAGE  </w:instrText>
    </w:r>
    <w:r>
      <w:rPr>
        <w:rStyle w:val="737"/>
      </w:rPr>
      <w:fldChar w:fldCharType="end"/>
    </w:r>
    <w:r>
      <w:rPr>
        <w:rStyle w:val="737"/>
      </w:rPr>
    </w:r>
  </w:p>
  <w:p>
    <w:pPr>
      <w:pStyle w:val="73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48</w:t>
    </w:r>
    <w:r>
      <w:fldChar w:fldCharType="end"/>
    </w:r>
    <w:r/>
  </w:p>
  <w:p>
    <w:pPr>
      <w:pStyle w:val="74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48</w:t>
    </w:r>
    <w:r>
      <w:fldChar w:fldCharType="end"/>
    </w:r>
    <w:r/>
  </w:p>
  <w:p>
    <w:pPr>
      <w:pStyle w:val="74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29"/>
    <w:next w:val="72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31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1"/>
    <w:link w:val="730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29"/>
    <w:next w:val="72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3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9"/>
    <w:next w:val="72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3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9"/>
    <w:next w:val="72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3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9"/>
    <w:next w:val="72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3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9"/>
    <w:next w:val="72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3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9"/>
    <w:next w:val="72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3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9"/>
    <w:next w:val="72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3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29"/>
    <w:next w:val="72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31"/>
    <w:link w:val="34"/>
    <w:uiPriority w:val="10"/>
    <w:rPr>
      <w:sz w:val="48"/>
      <w:szCs w:val="48"/>
    </w:rPr>
  </w:style>
  <w:style w:type="paragraph" w:styleId="36">
    <w:name w:val="Subtitle"/>
    <w:basedOn w:val="729"/>
    <w:next w:val="72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31"/>
    <w:link w:val="36"/>
    <w:uiPriority w:val="11"/>
    <w:rPr>
      <w:sz w:val="24"/>
      <w:szCs w:val="24"/>
    </w:rPr>
  </w:style>
  <w:style w:type="paragraph" w:styleId="38">
    <w:name w:val="Quote"/>
    <w:basedOn w:val="729"/>
    <w:next w:val="72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9"/>
    <w:next w:val="72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31"/>
    <w:link w:val="746"/>
    <w:uiPriority w:val="99"/>
  </w:style>
  <w:style w:type="character" w:styleId="45">
    <w:name w:val="Footer Char"/>
    <w:basedOn w:val="731"/>
    <w:link w:val="735"/>
    <w:uiPriority w:val="99"/>
  </w:style>
  <w:style w:type="paragraph" w:styleId="46">
    <w:name w:val="Caption"/>
    <w:basedOn w:val="729"/>
    <w:next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35"/>
    <w:uiPriority w:val="99"/>
  </w:style>
  <w:style w:type="table" w:styleId="49">
    <w:name w:val="Table Grid Light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738"/>
    <w:uiPriority w:val="99"/>
    <w:rPr>
      <w:sz w:val="18"/>
    </w:rPr>
  </w:style>
  <w:style w:type="paragraph" w:styleId="178">
    <w:name w:val="endnote text"/>
    <w:basedOn w:val="72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31"/>
    <w:uiPriority w:val="99"/>
    <w:semiHidden/>
    <w:unhideWhenUsed/>
    <w:rPr>
      <w:vertAlign w:val="superscript"/>
    </w:rPr>
  </w:style>
  <w:style w:type="paragraph" w:styleId="181">
    <w:name w:val="toc 1"/>
    <w:basedOn w:val="729"/>
    <w:next w:val="72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9"/>
    <w:next w:val="72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9"/>
    <w:next w:val="72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9"/>
    <w:next w:val="72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9"/>
    <w:next w:val="72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9"/>
    <w:next w:val="72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9"/>
    <w:next w:val="72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9"/>
    <w:next w:val="72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9"/>
    <w:next w:val="72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9"/>
    <w:next w:val="729"/>
    <w:uiPriority w:val="99"/>
    <w:unhideWhenUsed/>
    <w:pPr>
      <w:spacing w:after="0" w:afterAutospacing="0"/>
    </w:pPr>
  </w:style>
  <w:style w:type="paragraph" w:styleId="729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730">
    <w:name w:val="Heading 2"/>
    <w:basedOn w:val="729"/>
    <w:next w:val="729"/>
    <w:link w:val="734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Заголовок 2 Знак"/>
    <w:basedOn w:val="731"/>
    <w:link w:val="730"/>
    <w:uiPriority w:val="99"/>
    <w:rPr>
      <w:rFonts w:ascii="Arial" w:hAnsi="Arial" w:eastAsia="Times New Roman" w:cs="Times New Roman"/>
      <w:b/>
      <w:bCs/>
      <w:i/>
      <w:iCs/>
      <w:sz w:val="28"/>
      <w:szCs w:val="28"/>
    </w:rPr>
  </w:style>
  <w:style w:type="paragraph" w:styleId="735">
    <w:name w:val="Footer"/>
    <w:basedOn w:val="729"/>
    <w:link w:val="736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736" w:customStyle="1">
    <w:name w:val="Нижний колонтитул Знак"/>
    <w:basedOn w:val="731"/>
    <w:link w:val="735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737">
    <w:name w:val="page number"/>
    <w:rPr>
      <w:rFonts w:cs="Times New Roman"/>
    </w:rPr>
  </w:style>
  <w:style w:type="paragraph" w:styleId="738">
    <w:name w:val="footnote text"/>
    <w:basedOn w:val="729"/>
    <w:link w:val="739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739" w:customStyle="1">
    <w:name w:val="Текст сноски Знак"/>
    <w:basedOn w:val="731"/>
    <w:link w:val="738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740">
    <w:name w:val="footnote reference"/>
    <w:uiPriority w:val="99"/>
    <w:rPr>
      <w:rFonts w:cs="Times New Roman"/>
      <w:vertAlign w:val="superscript"/>
    </w:rPr>
  </w:style>
  <w:style w:type="paragraph" w:styleId="741">
    <w:name w:val="List Paragraph"/>
    <w:basedOn w:val="729"/>
    <w:link w:val="742"/>
    <w:uiPriority w:val="34"/>
    <w:qFormat/>
    <w:pPr>
      <w:ind w:left="708"/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742" w:customStyle="1">
    <w:name w:val="Абзац списка Знак"/>
    <w:link w:val="741"/>
    <w:uiPriority w:val="34"/>
    <w:qFormat/>
    <w:rPr>
      <w:rFonts w:ascii="Times New Roman" w:hAnsi="Times New Roman" w:eastAsia="Times New Roman" w:cs="Times New Roman"/>
      <w:sz w:val="24"/>
      <w:szCs w:val="24"/>
    </w:rPr>
  </w:style>
  <w:style w:type="character" w:styleId="743">
    <w:name w:val="Emphasis"/>
    <w:qFormat/>
    <w:rPr>
      <w:rFonts w:cs="Times New Roman"/>
      <w:i/>
    </w:rPr>
  </w:style>
  <w:style w:type="paragraph" w:styleId="744">
    <w:name w:val="Balloon Text"/>
    <w:basedOn w:val="729"/>
    <w:link w:val="74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45" w:customStyle="1">
    <w:name w:val="Текст выноски Знак"/>
    <w:basedOn w:val="731"/>
    <w:link w:val="74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746">
    <w:name w:val="Header"/>
    <w:basedOn w:val="729"/>
    <w:link w:val="7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747" w:customStyle="1">
    <w:name w:val="Верхний колонтитул Знак"/>
    <w:basedOn w:val="731"/>
    <w:link w:val="746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48">
    <w:name w:val="Table Grid"/>
    <w:basedOn w:val="732"/>
    <w:uiPriority w:val="5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_1306" w:customStyle="1">
    <w:name w:val="Раздел 1.1"/>
    <w:basedOn w:val="1068"/>
    <w:link w:val="134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2151" w:customStyle="1">
    <w:name w:val="Раздел 1"/>
    <w:basedOn w:val="876"/>
    <w:link w:val="1340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6" Type="http://schemas.openxmlformats.org/officeDocument/2006/relationships/hyperlink" Target="https://profspo.ru/books/9217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4</cp:revision>
  <dcterms:created xsi:type="dcterms:W3CDTF">2024-02-06T10:18:00Z</dcterms:created>
  <dcterms:modified xsi:type="dcterms:W3CDTF">2025-06-06T04:51:10Z</dcterms:modified>
</cp:coreProperties>
</file>